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E3DD" w14:textId="00C00BD6" w:rsidR="00A86288" w:rsidRPr="004617C7" w:rsidRDefault="00100BD8" w:rsidP="004617C7">
      <w:pPr>
        <w:pStyle w:val="Heading1"/>
      </w:pPr>
      <w:bookmarkStart w:id="0" w:name="_Toc10983064"/>
      <w:r>
        <w:t>CPP016 Workplace Health and Safety</w:t>
      </w:r>
      <w:bookmarkEnd w:id="0"/>
    </w:p>
    <w:p w14:paraId="1E4C7A71" w14:textId="77777777" w:rsidR="004617C7" w:rsidRPr="004617C7" w:rsidRDefault="004617C7" w:rsidP="004617C7">
      <w:pPr>
        <w:pStyle w:val="Heading2"/>
      </w:pPr>
      <w:bookmarkStart w:id="1" w:name="_Toc10983065"/>
      <w:r w:rsidRPr="004617C7">
        <w:t>Contents</w:t>
      </w:r>
      <w:bookmarkEnd w:id="1"/>
    </w:p>
    <w:p w14:paraId="0FCD51DF" w14:textId="0E97B875" w:rsidR="00630FE2" w:rsidRDefault="004617C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983064" w:history="1">
        <w:r w:rsidR="00630FE2" w:rsidRPr="0039022E">
          <w:rPr>
            <w:rStyle w:val="Hyperlink"/>
            <w:noProof/>
          </w:rPr>
          <w:t>CPP016 Workplace Health and Safety</w:t>
        </w:r>
        <w:r w:rsidR="00630FE2">
          <w:rPr>
            <w:noProof/>
            <w:webHidden/>
          </w:rPr>
          <w:tab/>
        </w:r>
        <w:r w:rsidR="00630FE2">
          <w:rPr>
            <w:noProof/>
            <w:webHidden/>
          </w:rPr>
          <w:fldChar w:fldCharType="begin"/>
        </w:r>
        <w:r w:rsidR="00630FE2">
          <w:rPr>
            <w:noProof/>
            <w:webHidden/>
          </w:rPr>
          <w:instrText xml:space="preserve"> PAGEREF _Toc10983064 \h </w:instrText>
        </w:r>
        <w:r w:rsidR="00630FE2">
          <w:rPr>
            <w:noProof/>
            <w:webHidden/>
          </w:rPr>
        </w:r>
        <w:r w:rsidR="00630FE2">
          <w:rPr>
            <w:noProof/>
            <w:webHidden/>
          </w:rPr>
          <w:fldChar w:fldCharType="separate"/>
        </w:r>
        <w:r w:rsidR="00630FE2">
          <w:rPr>
            <w:noProof/>
            <w:webHidden/>
          </w:rPr>
          <w:t>1</w:t>
        </w:r>
        <w:r w:rsidR="00630FE2">
          <w:rPr>
            <w:noProof/>
            <w:webHidden/>
          </w:rPr>
          <w:fldChar w:fldCharType="end"/>
        </w:r>
      </w:hyperlink>
    </w:p>
    <w:p w14:paraId="52CA87E4" w14:textId="38556FA4" w:rsidR="00630FE2" w:rsidRDefault="00372213">
      <w:pPr>
        <w:pStyle w:val="TOC2"/>
        <w:tabs>
          <w:tab w:val="right" w:leader="dot" w:pos="9016"/>
        </w:tabs>
        <w:rPr>
          <w:rFonts w:eastAsiaTheme="minorEastAsia"/>
          <w:noProof/>
          <w:lang w:eastAsia="en-AU"/>
        </w:rPr>
      </w:pPr>
      <w:hyperlink w:anchor="_Toc10983065" w:history="1">
        <w:r w:rsidR="00630FE2" w:rsidRPr="0039022E">
          <w:rPr>
            <w:rStyle w:val="Hyperlink"/>
            <w:noProof/>
          </w:rPr>
          <w:t>Contents</w:t>
        </w:r>
        <w:r w:rsidR="00630FE2">
          <w:rPr>
            <w:noProof/>
            <w:webHidden/>
          </w:rPr>
          <w:tab/>
        </w:r>
        <w:r w:rsidR="00630FE2">
          <w:rPr>
            <w:noProof/>
            <w:webHidden/>
          </w:rPr>
          <w:fldChar w:fldCharType="begin"/>
        </w:r>
        <w:r w:rsidR="00630FE2">
          <w:rPr>
            <w:noProof/>
            <w:webHidden/>
          </w:rPr>
          <w:instrText xml:space="preserve"> PAGEREF _Toc10983065 \h </w:instrText>
        </w:r>
        <w:r w:rsidR="00630FE2">
          <w:rPr>
            <w:noProof/>
            <w:webHidden/>
          </w:rPr>
        </w:r>
        <w:r w:rsidR="00630FE2">
          <w:rPr>
            <w:noProof/>
            <w:webHidden/>
          </w:rPr>
          <w:fldChar w:fldCharType="separate"/>
        </w:r>
        <w:r w:rsidR="00630FE2">
          <w:rPr>
            <w:noProof/>
            <w:webHidden/>
          </w:rPr>
          <w:t>1</w:t>
        </w:r>
        <w:r w:rsidR="00630FE2">
          <w:rPr>
            <w:noProof/>
            <w:webHidden/>
          </w:rPr>
          <w:fldChar w:fldCharType="end"/>
        </w:r>
      </w:hyperlink>
    </w:p>
    <w:p w14:paraId="3ECC124A" w14:textId="16914176" w:rsidR="00630FE2" w:rsidRDefault="00372213">
      <w:pPr>
        <w:pStyle w:val="TOC2"/>
        <w:tabs>
          <w:tab w:val="right" w:leader="dot" w:pos="9016"/>
        </w:tabs>
        <w:rPr>
          <w:rFonts w:eastAsiaTheme="minorEastAsia"/>
          <w:noProof/>
          <w:lang w:eastAsia="en-AU"/>
        </w:rPr>
      </w:pPr>
      <w:hyperlink w:anchor="_Toc10983066" w:history="1">
        <w:r w:rsidR="00630FE2" w:rsidRPr="0039022E">
          <w:rPr>
            <w:rStyle w:val="Hyperlink"/>
            <w:noProof/>
          </w:rPr>
          <w:t>Policy Overview</w:t>
        </w:r>
        <w:r w:rsidR="00630FE2">
          <w:rPr>
            <w:noProof/>
            <w:webHidden/>
          </w:rPr>
          <w:tab/>
        </w:r>
        <w:r w:rsidR="00630FE2">
          <w:rPr>
            <w:noProof/>
            <w:webHidden/>
          </w:rPr>
          <w:fldChar w:fldCharType="begin"/>
        </w:r>
        <w:r w:rsidR="00630FE2">
          <w:rPr>
            <w:noProof/>
            <w:webHidden/>
          </w:rPr>
          <w:instrText xml:space="preserve"> PAGEREF _Toc10983066 \h </w:instrText>
        </w:r>
        <w:r w:rsidR="00630FE2">
          <w:rPr>
            <w:noProof/>
            <w:webHidden/>
          </w:rPr>
        </w:r>
        <w:r w:rsidR="00630FE2">
          <w:rPr>
            <w:noProof/>
            <w:webHidden/>
          </w:rPr>
          <w:fldChar w:fldCharType="separate"/>
        </w:r>
        <w:r w:rsidR="00630FE2">
          <w:rPr>
            <w:noProof/>
            <w:webHidden/>
          </w:rPr>
          <w:t>2</w:t>
        </w:r>
        <w:r w:rsidR="00630FE2">
          <w:rPr>
            <w:noProof/>
            <w:webHidden/>
          </w:rPr>
          <w:fldChar w:fldCharType="end"/>
        </w:r>
      </w:hyperlink>
    </w:p>
    <w:p w14:paraId="35E68044" w14:textId="04BE8F89" w:rsidR="00630FE2" w:rsidRDefault="00372213">
      <w:pPr>
        <w:pStyle w:val="TOC2"/>
        <w:tabs>
          <w:tab w:val="right" w:leader="dot" w:pos="9016"/>
        </w:tabs>
        <w:rPr>
          <w:rFonts w:eastAsiaTheme="minorEastAsia"/>
          <w:noProof/>
          <w:lang w:eastAsia="en-AU"/>
        </w:rPr>
      </w:pPr>
      <w:hyperlink w:anchor="_Toc10983067" w:history="1">
        <w:r w:rsidR="00630FE2" w:rsidRPr="0039022E">
          <w:rPr>
            <w:rStyle w:val="Hyperlink"/>
            <w:noProof/>
          </w:rPr>
          <w:t>Regulatory References</w:t>
        </w:r>
        <w:r w:rsidR="00630FE2">
          <w:rPr>
            <w:noProof/>
            <w:webHidden/>
          </w:rPr>
          <w:tab/>
        </w:r>
        <w:r w:rsidR="00630FE2">
          <w:rPr>
            <w:noProof/>
            <w:webHidden/>
          </w:rPr>
          <w:fldChar w:fldCharType="begin"/>
        </w:r>
        <w:r w:rsidR="00630FE2">
          <w:rPr>
            <w:noProof/>
            <w:webHidden/>
          </w:rPr>
          <w:instrText xml:space="preserve"> PAGEREF _Toc10983067 \h </w:instrText>
        </w:r>
        <w:r w:rsidR="00630FE2">
          <w:rPr>
            <w:noProof/>
            <w:webHidden/>
          </w:rPr>
        </w:r>
        <w:r w:rsidR="00630FE2">
          <w:rPr>
            <w:noProof/>
            <w:webHidden/>
          </w:rPr>
          <w:fldChar w:fldCharType="separate"/>
        </w:r>
        <w:r w:rsidR="00630FE2">
          <w:rPr>
            <w:noProof/>
            <w:webHidden/>
          </w:rPr>
          <w:t>2</w:t>
        </w:r>
        <w:r w:rsidR="00630FE2">
          <w:rPr>
            <w:noProof/>
            <w:webHidden/>
          </w:rPr>
          <w:fldChar w:fldCharType="end"/>
        </w:r>
      </w:hyperlink>
    </w:p>
    <w:p w14:paraId="66D3934F" w14:textId="54627521" w:rsidR="00630FE2" w:rsidRDefault="00372213">
      <w:pPr>
        <w:pStyle w:val="TOC2"/>
        <w:tabs>
          <w:tab w:val="right" w:leader="dot" w:pos="9016"/>
        </w:tabs>
        <w:rPr>
          <w:rFonts w:eastAsiaTheme="minorEastAsia"/>
          <w:noProof/>
          <w:lang w:eastAsia="en-AU"/>
        </w:rPr>
      </w:pPr>
      <w:hyperlink w:anchor="_Toc10983068" w:history="1">
        <w:r w:rsidR="00630FE2" w:rsidRPr="0039022E">
          <w:rPr>
            <w:rStyle w:val="Hyperlink"/>
            <w:noProof/>
          </w:rPr>
          <w:t>Policy Statements</w:t>
        </w:r>
        <w:r w:rsidR="00630FE2">
          <w:rPr>
            <w:noProof/>
            <w:webHidden/>
          </w:rPr>
          <w:tab/>
        </w:r>
        <w:r w:rsidR="00630FE2">
          <w:rPr>
            <w:noProof/>
            <w:webHidden/>
          </w:rPr>
          <w:fldChar w:fldCharType="begin"/>
        </w:r>
        <w:r w:rsidR="00630FE2">
          <w:rPr>
            <w:noProof/>
            <w:webHidden/>
          </w:rPr>
          <w:instrText xml:space="preserve"> PAGEREF _Toc10983068 \h </w:instrText>
        </w:r>
        <w:r w:rsidR="00630FE2">
          <w:rPr>
            <w:noProof/>
            <w:webHidden/>
          </w:rPr>
        </w:r>
        <w:r w:rsidR="00630FE2">
          <w:rPr>
            <w:noProof/>
            <w:webHidden/>
          </w:rPr>
          <w:fldChar w:fldCharType="separate"/>
        </w:r>
        <w:r w:rsidR="00630FE2">
          <w:rPr>
            <w:noProof/>
            <w:webHidden/>
          </w:rPr>
          <w:t>3</w:t>
        </w:r>
        <w:r w:rsidR="00630FE2">
          <w:rPr>
            <w:noProof/>
            <w:webHidden/>
          </w:rPr>
          <w:fldChar w:fldCharType="end"/>
        </w:r>
      </w:hyperlink>
    </w:p>
    <w:p w14:paraId="5DC71909" w14:textId="6E1A742E" w:rsidR="00630FE2" w:rsidRDefault="00372213">
      <w:pPr>
        <w:pStyle w:val="TOC3"/>
        <w:tabs>
          <w:tab w:val="right" w:leader="dot" w:pos="9016"/>
        </w:tabs>
        <w:rPr>
          <w:noProof/>
        </w:rPr>
      </w:pPr>
      <w:hyperlink w:anchor="_Toc10983069" w:history="1">
        <w:r w:rsidR="00630FE2" w:rsidRPr="0039022E">
          <w:rPr>
            <w:rStyle w:val="Hyperlink"/>
            <w:noProof/>
          </w:rPr>
          <w:t>WHS Assessment Framework</w:t>
        </w:r>
        <w:r w:rsidR="00630FE2">
          <w:rPr>
            <w:noProof/>
            <w:webHidden/>
          </w:rPr>
          <w:tab/>
        </w:r>
        <w:r w:rsidR="00630FE2">
          <w:rPr>
            <w:noProof/>
            <w:webHidden/>
          </w:rPr>
          <w:fldChar w:fldCharType="begin"/>
        </w:r>
        <w:r w:rsidR="00630FE2">
          <w:rPr>
            <w:noProof/>
            <w:webHidden/>
          </w:rPr>
          <w:instrText xml:space="preserve"> PAGEREF _Toc10983069 \h </w:instrText>
        </w:r>
        <w:r w:rsidR="00630FE2">
          <w:rPr>
            <w:noProof/>
            <w:webHidden/>
          </w:rPr>
        </w:r>
        <w:r w:rsidR="00630FE2">
          <w:rPr>
            <w:noProof/>
            <w:webHidden/>
          </w:rPr>
          <w:fldChar w:fldCharType="separate"/>
        </w:r>
        <w:r w:rsidR="00630FE2">
          <w:rPr>
            <w:noProof/>
            <w:webHidden/>
          </w:rPr>
          <w:t>3</w:t>
        </w:r>
        <w:r w:rsidR="00630FE2">
          <w:rPr>
            <w:noProof/>
            <w:webHidden/>
          </w:rPr>
          <w:fldChar w:fldCharType="end"/>
        </w:r>
      </w:hyperlink>
    </w:p>
    <w:p w14:paraId="3A185838" w14:textId="2A4B1AC3" w:rsidR="00630FE2" w:rsidRDefault="00372213">
      <w:pPr>
        <w:pStyle w:val="TOC3"/>
        <w:tabs>
          <w:tab w:val="right" w:leader="dot" w:pos="9016"/>
        </w:tabs>
        <w:rPr>
          <w:noProof/>
        </w:rPr>
      </w:pPr>
      <w:hyperlink w:anchor="_Toc10983070" w:history="1">
        <w:r w:rsidR="00630FE2" w:rsidRPr="0039022E">
          <w:rPr>
            <w:rStyle w:val="Hyperlink"/>
            <w:noProof/>
          </w:rPr>
          <w:t>WHS Reporting and Responsibility</w:t>
        </w:r>
        <w:r w:rsidR="00630FE2">
          <w:rPr>
            <w:noProof/>
            <w:webHidden/>
          </w:rPr>
          <w:tab/>
        </w:r>
        <w:r w:rsidR="00630FE2">
          <w:rPr>
            <w:noProof/>
            <w:webHidden/>
          </w:rPr>
          <w:fldChar w:fldCharType="begin"/>
        </w:r>
        <w:r w:rsidR="00630FE2">
          <w:rPr>
            <w:noProof/>
            <w:webHidden/>
          </w:rPr>
          <w:instrText xml:space="preserve"> PAGEREF _Toc10983070 \h </w:instrText>
        </w:r>
        <w:r w:rsidR="00630FE2">
          <w:rPr>
            <w:noProof/>
            <w:webHidden/>
          </w:rPr>
        </w:r>
        <w:r w:rsidR="00630FE2">
          <w:rPr>
            <w:noProof/>
            <w:webHidden/>
          </w:rPr>
          <w:fldChar w:fldCharType="separate"/>
        </w:r>
        <w:r w:rsidR="00630FE2">
          <w:rPr>
            <w:noProof/>
            <w:webHidden/>
          </w:rPr>
          <w:t>3</w:t>
        </w:r>
        <w:r w:rsidR="00630FE2">
          <w:rPr>
            <w:noProof/>
            <w:webHidden/>
          </w:rPr>
          <w:fldChar w:fldCharType="end"/>
        </w:r>
      </w:hyperlink>
    </w:p>
    <w:p w14:paraId="52FD300A" w14:textId="51A4D39C" w:rsidR="00630FE2" w:rsidRDefault="00372213">
      <w:pPr>
        <w:pStyle w:val="TOC2"/>
        <w:tabs>
          <w:tab w:val="right" w:leader="dot" w:pos="9016"/>
        </w:tabs>
        <w:rPr>
          <w:rFonts w:eastAsiaTheme="minorEastAsia"/>
          <w:noProof/>
          <w:lang w:eastAsia="en-AU"/>
        </w:rPr>
      </w:pPr>
      <w:hyperlink w:anchor="_Toc10983071" w:history="1">
        <w:r w:rsidR="00630FE2" w:rsidRPr="0039022E">
          <w:rPr>
            <w:rStyle w:val="Hyperlink"/>
            <w:noProof/>
          </w:rPr>
          <w:t>Procedures</w:t>
        </w:r>
        <w:r w:rsidR="00630FE2">
          <w:rPr>
            <w:noProof/>
            <w:webHidden/>
          </w:rPr>
          <w:tab/>
        </w:r>
        <w:r w:rsidR="00630FE2">
          <w:rPr>
            <w:noProof/>
            <w:webHidden/>
          </w:rPr>
          <w:fldChar w:fldCharType="begin"/>
        </w:r>
        <w:r w:rsidR="00630FE2">
          <w:rPr>
            <w:noProof/>
            <w:webHidden/>
          </w:rPr>
          <w:instrText xml:space="preserve"> PAGEREF _Toc10983071 \h </w:instrText>
        </w:r>
        <w:r w:rsidR="00630FE2">
          <w:rPr>
            <w:noProof/>
            <w:webHidden/>
          </w:rPr>
        </w:r>
        <w:r w:rsidR="00630FE2">
          <w:rPr>
            <w:noProof/>
            <w:webHidden/>
          </w:rPr>
          <w:fldChar w:fldCharType="separate"/>
        </w:r>
        <w:r w:rsidR="00630FE2">
          <w:rPr>
            <w:noProof/>
            <w:webHidden/>
          </w:rPr>
          <w:t>4</w:t>
        </w:r>
        <w:r w:rsidR="00630FE2">
          <w:rPr>
            <w:noProof/>
            <w:webHidden/>
          </w:rPr>
          <w:fldChar w:fldCharType="end"/>
        </w:r>
      </w:hyperlink>
    </w:p>
    <w:p w14:paraId="5628C55A" w14:textId="69D1990B" w:rsidR="00630FE2" w:rsidRDefault="00372213">
      <w:pPr>
        <w:pStyle w:val="TOC3"/>
        <w:tabs>
          <w:tab w:val="right" w:leader="dot" w:pos="9016"/>
        </w:tabs>
        <w:rPr>
          <w:noProof/>
        </w:rPr>
      </w:pPr>
      <w:hyperlink w:anchor="_Toc10983072" w:history="1">
        <w:r w:rsidR="00630FE2" w:rsidRPr="0039022E">
          <w:rPr>
            <w:rStyle w:val="Hyperlink"/>
            <w:noProof/>
          </w:rPr>
          <w:t>Procedure List</w:t>
        </w:r>
        <w:r w:rsidR="00630FE2">
          <w:rPr>
            <w:noProof/>
            <w:webHidden/>
          </w:rPr>
          <w:tab/>
        </w:r>
        <w:r w:rsidR="00630FE2">
          <w:rPr>
            <w:noProof/>
            <w:webHidden/>
          </w:rPr>
          <w:fldChar w:fldCharType="begin"/>
        </w:r>
        <w:r w:rsidR="00630FE2">
          <w:rPr>
            <w:noProof/>
            <w:webHidden/>
          </w:rPr>
          <w:instrText xml:space="preserve"> PAGEREF _Toc10983072 \h </w:instrText>
        </w:r>
        <w:r w:rsidR="00630FE2">
          <w:rPr>
            <w:noProof/>
            <w:webHidden/>
          </w:rPr>
        </w:r>
        <w:r w:rsidR="00630FE2">
          <w:rPr>
            <w:noProof/>
            <w:webHidden/>
          </w:rPr>
          <w:fldChar w:fldCharType="separate"/>
        </w:r>
        <w:r w:rsidR="00630FE2">
          <w:rPr>
            <w:noProof/>
            <w:webHidden/>
          </w:rPr>
          <w:t>4</w:t>
        </w:r>
        <w:r w:rsidR="00630FE2">
          <w:rPr>
            <w:noProof/>
            <w:webHidden/>
          </w:rPr>
          <w:fldChar w:fldCharType="end"/>
        </w:r>
      </w:hyperlink>
    </w:p>
    <w:p w14:paraId="7527DFBD" w14:textId="298F3077" w:rsidR="00630FE2" w:rsidRDefault="00372213">
      <w:pPr>
        <w:pStyle w:val="TOC3"/>
        <w:tabs>
          <w:tab w:val="right" w:leader="dot" w:pos="9016"/>
        </w:tabs>
        <w:rPr>
          <w:noProof/>
        </w:rPr>
      </w:pPr>
      <w:hyperlink w:anchor="_Toc10983073" w:history="1">
        <w:r w:rsidR="00630FE2" w:rsidRPr="0039022E">
          <w:rPr>
            <w:rStyle w:val="Hyperlink"/>
            <w:noProof/>
          </w:rPr>
          <w:t>Resolving a WHS injury, incident or hazard</w:t>
        </w:r>
        <w:r w:rsidR="00630FE2">
          <w:rPr>
            <w:noProof/>
            <w:webHidden/>
          </w:rPr>
          <w:tab/>
        </w:r>
        <w:r w:rsidR="00630FE2">
          <w:rPr>
            <w:noProof/>
            <w:webHidden/>
          </w:rPr>
          <w:fldChar w:fldCharType="begin"/>
        </w:r>
        <w:r w:rsidR="00630FE2">
          <w:rPr>
            <w:noProof/>
            <w:webHidden/>
          </w:rPr>
          <w:instrText xml:space="preserve"> PAGEREF _Toc10983073 \h </w:instrText>
        </w:r>
        <w:r w:rsidR="00630FE2">
          <w:rPr>
            <w:noProof/>
            <w:webHidden/>
          </w:rPr>
        </w:r>
        <w:r w:rsidR="00630FE2">
          <w:rPr>
            <w:noProof/>
            <w:webHidden/>
          </w:rPr>
          <w:fldChar w:fldCharType="separate"/>
        </w:r>
        <w:r w:rsidR="00630FE2">
          <w:rPr>
            <w:noProof/>
            <w:webHidden/>
          </w:rPr>
          <w:t>4</w:t>
        </w:r>
        <w:r w:rsidR="00630FE2">
          <w:rPr>
            <w:noProof/>
            <w:webHidden/>
          </w:rPr>
          <w:fldChar w:fldCharType="end"/>
        </w:r>
      </w:hyperlink>
    </w:p>
    <w:p w14:paraId="15BF51E5" w14:textId="1C0A1A38" w:rsidR="00630FE2" w:rsidRDefault="00372213">
      <w:pPr>
        <w:pStyle w:val="TOC2"/>
        <w:tabs>
          <w:tab w:val="right" w:leader="dot" w:pos="9016"/>
        </w:tabs>
        <w:rPr>
          <w:rFonts w:eastAsiaTheme="minorEastAsia"/>
          <w:noProof/>
          <w:lang w:eastAsia="en-AU"/>
        </w:rPr>
      </w:pPr>
      <w:hyperlink w:anchor="_Toc10983074" w:history="1">
        <w:r w:rsidR="00630FE2" w:rsidRPr="0039022E">
          <w:rPr>
            <w:rStyle w:val="Hyperlink"/>
            <w:noProof/>
          </w:rPr>
          <w:t>Forms and Templates</w:t>
        </w:r>
        <w:r w:rsidR="00630FE2">
          <w:rPr>
            <w:noProof/>
            <w:webHidden/>
          </w:rPr>
          <w:tab/>
        </w:r>
        <w:r w:rsidR="00630FE2">
          <w:rPr>
            <w:noProof/>
            <w:webHidden/>
          </w:rPr>
          <w:fldChar w:fldCharType="begin"/>
        </w:r>
        <w:r w:rsidR="00630FE2">
          <w:rPr>
            <w:noProof/>
            <w:webHidden/>
          </w:rPr>
          <w:instrText xml:space="preserve"> PAGEREF _Toc10983074 \h </w:instrText>
        </w:r>
        <w:r w:rsidR="00630FE2">
          <w:rPr>
            <w:noProof/>
            <w:webHidden/>
          </w:rPr>
        </w:r>
        <w:r w:rsidR="00630FE2">
          <w:rPr>
            <w:noProof/>
            <w:webHidden/>
          </w:rPr>
          <w:fldChar w:fldCharType="separate"/>
        </w:r>
        <w:r w:rsidR="00630FE2">
          <w:rPr>
            <w:noProof/>
            <w:webHidden/>
          </w:rPr>
          <w:t>5</w:t>
        </w:r>
        <w:r w:rsidR="00630FE2">
          <w:rPr>
            <w:noProof/>
            <w:webHidden/>
          </w:rPr>
          <w:fldChar w:fldCharType="end"/>
        </w:r>
      </w:hyperlink>
    </w:p>
    <w:p w14:paraId="67B577F6" w14:textId="113D724B" w:rsidR="00630FE2" w:rsidRDefault="00372213">
      <w:pPr>
        <w:pStyle w:val="TOC2"/>
        <w:tabs>
          <w:tab w:val="right" w:leader="dot" w:pos="9016"/>
        </w:tabs>
        <w:rPr>
          <w:rFonts w:eastAsiaTheme="minorEastAsia"/>
          <w:noProof/>
          <w:lang w:eastAsia="en-AU"/>
        </w:rPr>
      </w:pPr>
      <w:hyperlink w:anchor="_Toc10983075" w:history="1">
        <w:r w:rsidR="00630FE2" w:rsidRPr="0039022E">
          <w:rPr>
            <w:rStyle w:val="Hyperlink"/>
            <w:noProof/>
          </w:rPr>
          <w:t>Version Management</w:t>
        </w:r>
        <w:r w:rsidR="00630FE2">
          <w:rPr>
            <w:noProof/>
            <w:webHidden/>
          </w:rPr>
          <w:tab/>
        </w:r>
        <w:r w:rsidR="00630FE2">
          <w:rPr>
            <w:noProof/>
            <w:webHidden/>
          </w:rPr>
          <w:fldChar w:fldCharType="begin"/>
        </w:r>
        <w:r w:rsidR="00630FE2">
          <w:rPr>
            <w:noProof/>
            <w:webHidden/>
          </w:rPr>
          <w:instrText xml:space="preserve"> PAGEREF _Toc10983075 \h </w:instrText>
        </w:r>
        <w:r w:rsidR="00630FE2">
          <w:rPr>
            <w:noProof/>
            <w:webHidden/>
          </w:rPr>
        </w:r>
        <w:r w:rsidR="00630FE2">
          <w:rPr>
            <w:noProof/>
            <w:webHidden/>
          </w:rPr>
          <w:fldChar w:fldCharType="separate"/>
        </w:r>
        <w:r w:rsidR="00630FE2">
          <w:rPr>
            <w:noProof/>
            <w:webHidden/>
          </w:rPr>
          <w:t>6</w:t>
        </w:r>
        <w:r w:rsidR="00630FE2">
          <w:rPr>
            <w:noProof/>
            <w:webHidden/>
          </w:rPr>
          <w:fldChar w:fldCharType="end"/>
        </w:r>
      </w:hyperlink>
    </w:p>
    <w:p w14:paraId="6AC7F0EA" w14:textId="07F652A6" w:rsidR="004617C7" w:rsidRPr="004617C7" w:rsidRDefault="004617C7" w:rsidP="004617C7">
      <w:r>
        <w:fldChar w:fldCharType="end"/>
      </w:r>
    </w:p>
    <w:p w14:paraId="1372318E" w14:textId="77777777" w:rsidR="004516F7" w:rsidRDefault="004516F7" w:rsidP="004617C7">
      <w:pPr>
        <w:pStyle w:val="Heading2-Break"/>
      </w:pPr>
      <w:bookmarkStart w:id="2" w:name="_Toc10983066"/>
      <w:r>
        <w:lastRenderedPageBreak/>
        <w:t>Policy Overview</w:t>
      </w:r>
      <w:bookmarkEnd w:id="2"/>
    </w:p>
    <w:p w14:paraId="53C36A10" w14:textId="1CE920E9" w:rsidR="00EC3F66" w:rsidRDefault="00EC3F66" w:rsidP="004516F7">
      <w:r>
        <w:t>Concept Engineering will ensure that the health and safety of all staff, including apprentices and trainees, as well as all other stakeholders of the enterprise are protected to the greatest possible extent. Health and safety are Concept Engineering’s number one priority because injuries of any kind are bad for people and bad for business.</w:t>
      </w:r>
    </w:p>
    <w:p w14:paraId="25997F03" w14:textId="4255150A" w:rsidR="00D2177A" w:rsidRDefault="00EC3F66" w:rsidP="004516F7">
      <w:r>
        <w:t xml:space="preserve">In this policy the term </w:t>
      </w:r>
      <w:r w:rsidR="00D2177A">
        <w:t>W</w:t>
      </w:r>
      <w:r>
        <w:t xml:space="preserve">orkplace </w:t>
      </w:r>
      <w:r w:rsidR="00D2177A">
        <w:t>H</w:t>
      </w:r>
      <w:r>
        <w:t xml:space="preserve">ealth and </w:t>
      </w:r>
      <w:r w:rsidR="00D2177A">
        <w:t>S</w:t>
      </w:r>
      <w:r>
        <w:t>afety (WHS)</w:t>
      </w:r>
      <w:r w:rsidR="00D2177A">
        <w:t xml:space="preserve"> </w:t>
      </w:r>
      <w:r>
        <w:t xml:space="preserve">has been used; however, it is interchangeable with the term </w:t>
      </w:r>
      <w:r w:rsidR="00D2177A">
        <w:t>O</w:t>
      </w:r>
      <w:r>
        <w:t xml:space="preserve">ccupational </w:t>
      </w:r>
      <w:r w:rsidR="00D2177A">
        <w:t>H</w:t>
      </w:r>
      <w:r>
        <w:t xml:space="preserve">ealth and </w:t>
      </w:r>
      <w:r w:rsidR="00D2177A">
        <w:t>S</w:t>
      </w:r>
      <w:r>
        <w:t xml:space="preserve">afety (OHS) which is still </w:t>
      </w:r>
      <w:r w:rsidR="00D2177A">
        <w:t xml:space="preserve">used </w:t>
      </w:r>
      <w:r>
        <w:t>to some extent in Victoria</w:t>
      </w:r>
      <w:r w:rsidR="00D2177A">
        <w:t>.</w:t>
      </w:r>
    </w:p>
    <w:p w14:paraId="6D1C0B0E" w14:textId="77777777" w:rsidR="004516F7" w:rsidRDefault="004516F7" w:rsidP="004617C7">
      <w:pPr>
        <w:pStyle w:val="Heading2"/>
      </w:pPr>
      <w:bookmarkStart w:id="3" w:name="_Toc10983067"/>
      <w:r>
        <w:t>Regulatory References</w:t>
      </w:r>
      <w:bookmarkEnd w:id="3"/>
    </w:p>
    <w:p w14:paraId="23CC8438" w14:textId="77777777" w:rsidR="004516F7" w:rsidRPr="00D2177A" w:rsidRDefault="004516F7" w:rsidP="004516F7">
      <w:pPr>
        <w:rPr>
          <w:iCs/>
        </w:rPr>
      </w:pPr>
      <w:r w:rsidRPr="00D2177A">
        <w:rPr>
          <w:iCs/>
        </w:rPr>
        <w:t>Legislation:</w:t>
      </w:r>
    </w:p>
    <w:p w14:paraId="77F9157B" w14:textId="77777777" w:rsidR="004516F7" w:rsidRPr="00D2177A" w:rsidRDefault="004516F7" w:rsidP="004516F7">
      <w:pPr>
        <w:pStyle w:val="ListParagraph"/>
        <w:numPr>
          <w:ilvl w:val="0"/>
          <w:numId w:val="1"/>
        </w:numPr>
        <w:rPr>
          <w:iCs/>
        </w:rPr>
      </w:pPr>
      <w:r w:rsidRPr="00D2177A">
        <w:rPr>
          <w:iCs/>
        </w:rPr>
        <w:t>Occupational Health and Safety Act 2011 (Vic)</w:t>
      </w:r>
    </w:p>
    <w:p w14:paraId="29BA1848" w14:textId="1EA5CE8A" w:rsidR="004516F7" w:rsidRPr="00D2177A" w:rsidRDefault="004516F7" w:rsidP="004516F7">
      <w:pPr>
        <w:pStyle w:val="ListParagraph"/>
        <w:numPr>
          <w:ilvl w:val="0"/>
          <w:numId w:val="1"/>
        </w:numPr>
        <w:rPr>
          <w:iCs/>
        </w:rPr>
      </w:pPr>
      <w:r w:rsidRPr="00D2177A">
        <w:rPr>
          <w:iCs/>
        </w:rPr>
        <w:t>Occupational Health and Safety Regulations 2007 (Vic)</w:t>
      </w:r>
    </w:p>
    <w:p w14:paraId="63423ABA" w14:textId="77777777" w:rsidR="0073242C" w:rsidRPr="0073242C" w:rsidRDefault="0073242C" w:rsidP="004617C7">
      <w:pPr>
        <w:pStyle w:val="Heading2-Break"/>
      </w:pPr>
      <w:bookmarkStart w:id="4" w:name="_Toc10983068"/>
      <w:r w:rsidRPr="0073242C">
        <w:lastRenderedPageBreak/>
        <w:t>Policy Statements</w:t>
      </w:r>
      <w:bookmarkEnd w:id="4"/>
    </w:p>
    <w:p w14:paraId="7ED3D0BA" w14:textId="44EE1EAD" w:rsidR="0073242C" w:rsidRPr="004617C7" w:rsidRDefault="00D04CAB" w:rsidP="004617C7">
      <w:pPr>
        <w:pStyle w:val="Heading3"/>
      </w:pPr>
      <w:bookmarkStart w:id="5" w:name="_Toc10983069"/>
      <w:r>
        <w:t>WHS Assessment Framework</w:t>
      </w:r>
      <w:bookmarkEnd w:id="5"/>
    </w:p>
    <w:p w14:paraId="1B913739" w14:textId="2AEB9D27" w:rsidR="00EC3F66" w:rsidRDefault="00EC3F66" w:rsidP="00D04CAB">
      <w:pPr>
        <w:rPr>
          <w:iCs/>
        </w:rPr>
      </w:pPr>
      <w:r>
        <w:rPr>
          <w:iCs/>
        </w:rPr>
        <w:t>Concept Engineering is a member of Ashley Services Group (ASG), a stock market listed group of companies. As such, Concept Engineering is governed by policies and procedures which have been established at the group level including for WHS.</w:t>
      </w:r>
    </w:p>
    <w:p w14:paraId="2BF8B7A3" w14:textId="782698BC" w:rsidR="00EC3F66" w:rsidRDefault="00EC3F66" w:rsidP="00D04CAB">
      <w:pPr>
        <w:rPr>
          <w:iCs/>
        </w:rPr>
      </w:pPr>
      <w:r>
        <w:rPr>
          <w:iCs/>
        </w:rPr>
        <w:t xml:space="preserve">The WHS assessment and control framework is described in </w:t>
      </w:r>
      <w:r w:rsidRPr="00D04CAB">
        <w:rPr>
          <w:i/>
        </w:rPr>
        <w:t>The Group Risk Management Guide Procedure</w:t>
      </w:r>
      <w:r>
        <w:rPr>
          <w:iCs/>
        </w:rPr>
        <w:t>. When it is required to undertake WHS assessment Concept Engineering will follow this document fully.</w:t>
      </w:r>
    </w:p>
    <w:p w14:paraId="7BBE4A59" w14:textId="77860328" w:rsidR="00EC3F66" w:rsidRPr="006C1B7B" w:rsidRDefault="00EC3F66" w:rsidP="00D04CAB">
      <w:pPr>
        <w:rPr>
          <w:iCs/>
        </w:rPr>
      </w:pPr>
      <w:r>
        <w:rPr>
          <w:iCs/>
        </w:rPr>
        <w:t xml:space="preserve">Concept Engineering maintains the WHS of all staff who are not on placement with a host employer through the established ASG policies and procedures and for greater detail those procedures should be </w:t>
      </w:r>
      <w:r w:rsidRPr="006C1B7B">
        <w:rPr>
          <w:iCs/>
        </w:rPr>
        <w:t xml:space="preserve">consulted. Staff who are on placement have their WHS maintained through the actions described in the CPP003 Recruitment of Host Employers Policy and Procedure, </w:t>
      </w:r>
      <w:r w:rsidR="001A681A" w:rsidRPr="006C1B7B">
        <w:rPr>
          <w:iCs/>
        </w:rPr>
        <w:t>the CPP005 Placement and Ongoing Support Policy and Procedure and the CPP008 Host Employer Support and Management Policy and Procedure.</w:t>
      </w:r>
    </w:p>
    <w:p w14:paraId="6B341176" w14:textId="6B0B5DE6" w:rsidR="00472436" w:rsidRPr="00EC3F66" w:rsidRDefault="00472436" w:rsidP="00D04CAB">
      <w:pPr>
        <w:rPr>
          <w:iCs/>
        </w:rPr>
      </w:pPr>
      <w:r w:rsidRPr="006C1B7B">
        <w:rPr>
          <w:iCs/>
        </w:rPr>
        <w:t>All staff are made aware of their rights and responsibilities in regard to WHS. For apprentices and trainees this occurs through the procedures described in the CPP002 Induction of Apprentices and Trainees Policy and Procedure and the handbooks detailed in the CPP017 Information Handbooks Policy and Procedure.</w:t>
      </w:r>
    </w:p>
    <w:p w14:paraId="1037C543" w14:textId="032CE292" w:rsidR="00397030" w:rsidRDefault="00D04CAB" w:rsidP="004617C7">
      <w:pPr>
        <w:pStyle w:val="Heading3"/>
        <w:rPr>
          <w:highlight w:val="yellow"/>
        </w:rPr>
      </w:pPr>
      <w:bookmarkStart w:id="6" w:name="_Toc10983070"/>
      <w:r w:rsidRPr="00D04CAB">
        <w:t xml:space="preserve">WHS </w:t>
      </w:r>
      <w:r>
        <w:t>R</w:t>
      </w:r>
      <w:r w:rsidRPr="00D04CAB">
        <w:t xml:space="preserve">eporting and </w:t>
      </w:r>
      <w:r>
        <w:t>Responsibility</w:t>
      </w:r>
      <w:bookmarkEnd w:id="6"/>
    </w:p>
    <w:p w14:paraId="1ADA3B43" w14:textId="1AD6FCD6" w:rsidR="00397030" w:rsidRDefault="00630FE2" w:rsidP="00630FE2">
      <w:pPr>
        <w:rPr>
          <w:iCs/>
        </w:rPr>
      </w:pPr>
      <w:r w:rsidRPr="00630FE2">
        <w:rPr>
          <w:iCs/>
        </w:rPr>
        <w:t xml:space="preserve">All </w:t>
      </w:r>
      <w:r>
        <w:rPr>
          <w:iCs/>
        </w:rPr>
        <w:t>staff of Concept Engineering, including apprentices and trainees, have responsibility for reporting any WHS related hazards or incidents as and when they occur. These must be reported to the individual’s direct supervisor. The report may initially be made verbally however it must also be recorded for insurance and continuous improvement purposes.</w:t>
      </w:r>
    </w:p>
    <w:p w14:paraId="44AE5617" w14:textId="250F60AD" w:rsidR="00630FE2" w:rsidRDefault="00630FE2" w:rsidP="00630FE2">
      <w:pPr>
        <w:rPr>
          <w:iCs/>
        </w:rPr>
      </w:pPr>
      <w:r>
        <w:rPr>
          <w:iCs/>
        </w:rPr>
        <w:t>If the supervisor is authorised to address the issue to the extent that it is considered complete, for example the employee who was injured has returned to work or the hazard has been eliminated, then they must do so. If they are not authorised to address the issue to this extent, then they must report the issue to their supervisor.</w:t>
      </w:r>
    </w:p>
    <w:p w14:paraId="317CF0AC" w14:textId="61E1E805" w:rsidR="00630FE2" w:rsidRPr="00630FE2" w:rsidRDefault="00630FE2" w:rsidP="00630FE2">
      <w:pPr>
        <w:rPr>
          <w:iCs/>
        </w:rPr>
      </w:pPr>
      <w:r>
        <w:rPr>
          <w:iCs/>
        </w:rPr>
        <w:t>The chain of reporting will continue until the report reaches an individual who is authorised to conclude the issue.</w:t>
      </w:r>
    </w:p>
    <w:p w14:paraId="4120494A" w14:textId="77777777" w:rsidR="00397030" w:rsidRPr="00397030" w:rsidRDefault="00397030" w:rsidP="004617C7">
      <w:pPr>
        <w:pStyle w:val="Heading2-Break"/>
      </w:pPr>
      <w:bookmarkStart w:id="7" w:name="_Toc10983071"/>
      <w:r w:rsidRPr="00397030">
        <w:lastRenderedPageBreak/>
        <w:t>Procedures</w:t>
      </w:r>
      <w:bookmarkEnd w:id="7"/>
    </w:p>
    <w:p w14:paraId="0EA86E75" w14:textId="77777777" w:rsidR="00397030" w:rsidRDefault="00397030" w:rsidP="004617C7">
      <w:pPr>
        <w:pStyle w:val="Heading3"/>
      </w:pPr>
      <w:bookmarkStart w:id="8" w:name="_Toc10983072"/>
      <w:r>
        <w:t>Procedure List</w:t>
      </w:r>
      <w:bookmarkEnd w:id="8"/>
    </w:p>
    <w:p w14:paraId="6EA2386C" w14:textId="77777777" w:rsidR="00397030" w:rsidRPr="00397030" w:rsidRDefault="00397030" w:rsidP="00397030">
      <w:r w:rsidRPr="00397030">
        <w:t>The procedures associated with this policy are:</w:t>
      </w:r>
    </w:p>
    <w:p w14:paraId="2F00AC8C" w14:textId="0BAD92E2" w:rsidR="00397030" w:rsidRPr="00630FE2" w:rsidRDefault="00630FE2" w:rsidP="00397030">
      <w:pPr>
        <w:pStyle w:val="ListParagraph"/>
        <w:numPr>
          <w:ilvl w:val="0"/>
          <w:numId w:val="4"/>
        </w:numPr>
        <w:rPr>
          <w:iCs/>
        </w:rPr>
      </w:pPr>
      <w:r>
        <w:rPr>
          <w:iCs/>
        </w:rPr>
        <w:fldChar w:fldCharType="begin"/>
      </w:r>
      <w:r>
        <w:rPr>
          <w:iCs/>
        </w:rPr>
        <w:instrText xml:space="preserve"> REF _Ref10983012 \h </w:instrText>
      </w:r>
      <w:r>
        <w:rPr>
          <w:iCs/>
        </w:rPr>
      </w:r>
      <w:r>
        <w:rPr>
          <w:iCs/>
        </w:rPr>
        <w:fldChar w:fldCharType="separate"/>
      </w:r>
      <w:r>
        <w:t>Resolving a WHS injury, incident or hazard</w:t>
      </w:r>
      <w:r>
        <w:rPr>
          <w:iCs/>
        </w:rPr>
        <w:fldChar w:fldCharType="end"/>
      </w:r>
    </w:p>
    <w:p w14:paraId="16A5670B" w14:textId="42DB7F23" w:rsidR="00A84244" w:rsidRDefault="00630FE2" w:rsidP="004617C7">
      <w:pPr>
        <w:pStyle w:val="Heading3"/>
        <w:rPr>
          <w:highlight w:val="yellow"/>
        </w:rPr>
      </w:pPr>
      <w:bookmarkStart w:id="9" w:name="_Ref10983012"/>
      <w:bookmarkStart w:id="10" w:name="_Toc10983073"/>
      <w:r>
        <w:t>Resolving a WHS injury, incident or hazard</w:t>
      </w:r>
      <w:bookmarkEnd w:id="9"/>
      <w:bookmarkEnd w:id="10"/>
    </w:p>
    <w:p w14:paraId="626ED375" w14:textId="77777777" w:rsidR="00A84244" w:rsidRPr="00A84244" w:rsidRDefault="00A84244" w:rsidP="00A84244">
      <w:r w:rsidRPr="00A84244">
        <w:t>The procedure to be followed is:</w:t>
      </w:r>
    </w:p>
    <w:p w14:paraId="0023DF04" w14:textId="685DA28A" w:rsidR="00A84244" w:rsidRDefault="00630FE2" w:rsidP="00A84244">
      <w:pPr>
        <w:pStyle w:val="ListParagraph"/>
        <w:numPr>
          <w:ilvl w:val="0"/>
          <w:numId w:val="5"/>
        </w:numPr>
        <w:rPr>
          <w:iCs/>
        </w:rPr>
      </w:pPr>
      <w:r w:rsidRPr="00630FE2">
        <w:rPr>
          <w:iCs/>
        </w:rPr>
        <w:t xml:space="preserve">When </w:t>
      </w:r>
      <w:r>
        <w:rPr>
          <w:iCs/>
        </w:rPr>
        <w:t>any employee of Concept Engineering determines that there is a hazard or a WHS incident has occurred they must report it immediately to their supervisor. The report may be made verbally; however, if the supervisor requests it the report must also be made in writing.</w:t>
      </w:r>
    </w:p>
    <w:p w14:paraId="6B316531" w14:textId="39DA58E9" w:rsidR="00630FE2" w:rsidRDefault="00630FE2" w:rsidP="00A84244">
      <w:pPr>
        <w:pStyle w:val="ListParagraph"/>
        <w:numPr>
          <w:ilvl w:val="0"/>
          <w:numId w:val="5"/>
        </w:numPr>
        <w:rPr>
          <w:iCs/>
        </w:rPr>
      </w:pPr>
      <w:r>
        <w:rPr>
          <w:iCs/>
        </w:rPr>
        <w:t>If the report relates to an injury or near-miss incident, then the supervisor will provide the ASG incident reporting form for the individual to complete.</w:t>
      </w:r>
    </w:p>
    <w:p w14:paraId="2F790627" w14:textId="2021E2C9" w:rsidR="00630FE2" w:rsidRDefault="00630FE2" w:rsidP="00A84244">
      <w:pPr>
        <w:pStyle w:val="ListParagraph"/>
        <w:numPr>
          <w:ilvl w:val="0"/>
          <w:numId w:val="5"/>
        </w:numPr>
        <w:rPr>
          <w:iCs/>
        </w:rPr>
      </w:pPr>
      <w:r>
        <w:rPr>
          <w:iCs/>
        </w:rPr>
        <w:t xml:space="preserve">The supervisor who receives the report must determine whether they are authorised to address the incident or injury. If they are then they must do so immediately according to the ASG </w:t>
      </w:r>
      <w:r w:rsidRPr="00D04CAB">
        <w:rPr>
          <w:i/>
        </w:rPr>
        <w:t>Group Risk Management Guide Procedure</w:t>
      </w:r>
      <w:r>
        <w:rPr>
          <w:iCs/>
        </w:rPr>
        <w:t xml:space="preserve"> or the ASG injury reporting system.</w:t>
      </w:r>
    </w:p>
    <w:p w14:paraId="72337003" w14:textId="750D5086" w:rsidR="00630FE2" w:rsidRPr="00630FE2" w:rsidRDefault="00630FE2" w:rsidP="00630FE2">
      <w:pPr>
        <w:pStyle w:val="ListParagraph"/>
        <w:numPr>
          <w:ilvl w:val="0"/>
          <w:numId w:val="5"/>
        </w:numPr>
        <w:rPr>
          <w:iCs/>
        </w:rPr>
      </w:pPr>
      <w:r>
        <w:rPr>
          <w:iCs/>
        </w:rPr>
        <w:t xml:space="preserve">When a supervisor receives a report regarding a WHS related hazard, incident or injury they must immediately act to the fullest extent of their authority to resolve it according to the ASG </w:t>
      </w:r>
      <w:r w:rsidRPr="00D04CAB">
        <w:rPr>
          <w:i/>
        </w:rPr>
        <w:t>Group Risk Management Guide Procedure</w:t>
      </w:r>
      <w:r>
        <w:rPr>
          <w:iCs/>
        </w:rPr>
        <w:t xml:space="preserve"> or the ASG injury reporting system.</w:t>
      </w:r>
    </w:p>
    <w:p w14:paraId="4F060765" w14:textId="1951CD08" w:rsidR="00630FE2" w:rsidRDefault="00630FE2" w:rsidP="00A84244">
      <w:pPr>
        <w:pStyle w:val="ListParagraph"/>
        <w:numPr>
          <w:ilvl w:val="0"/>
          <w:numId w:val="5"/>
        </w:numPr>
        <w:rPr>
          <w:iCs/>
        </w:rPr>
      </w:pPr>
      <w:r>
        <w:rPr>
          <w:iCs/>
        </w:rPr>
        <w:t>If the supervisor who receives the report is not authorised to address the incident or injury, then they must report it to their supervisor. This chain must continue until it reaches an individual who has the authority to address the issue in full.</w:t>
      </w:r>
    </w:p>
    <w:p w14:paraId="6F18E86E" w14:textId="001851DC" w:rsidR="00630FE2" w:rsidRPr="00630FE2" w:rsidRDefault="00630FE2" w:rsidP="00A84244">
      <w:pPr>
        <w:pStyle w:val="ListParagraph"/>
        <w:numPr>
          <w:ilvl w:val="0"/>
          <w:numId w:val="5"/>
        </w:numPr>
        <w:rPr>
          <w:iCs/>
        </w:rPr>
      </w:pPr>
      <w:r>
        <w:rPr>
          <w:iCs/>
        </w:rPr>
        <w:t>All resolved WHS incidents, injuries, hazard reports or reports of near-miss incidents must be recorded on the Concept Engineering shared drive for use in insurance claims and continuous improvement processes.</w:t>
      </w:r>
    </w:p>
    <w:p w14:paraId="21084D8E" w14:textId="77777777" w:rsidR="00B33665" w:rsidRDefault="00B33665" w:rsidP="004617C7">
      <w:pPr>
        <w:pStyle w:val="Heading2-Break"/>
      </w:pPr>
      <w:bookmarkStart w:id="11" w:name="_Toc10983074"/>
      <w:r>
        <w:lastRenderedPageBreak/>
        <w:t>Forms and Templates</w:t>
      </w:r>
      <w:bookmarkEnd w:id="11"/>
    </w:p>
    <w:p w14:paraId="5693FC74" w14:textId="77777777" w:rsidR="00B33665" w:rsidRDefault="00B33665" w:rsidP="00B33665">
      <w:r>
        <w:t>The forms and templates associated with these procedures are:</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86"/>
        <w:gridCol w:w="5330"/>
      </w:tblGrid>
      <w:tr w:rsidR="00B33665" w14:paraId="7850969F" w14:textId="77777777" w:rsidTr="00655099">
        <w:tc>
          <w:tcPr>
            <w:tcW w:w="3686" w:type="dxa"/>
          </w:tcPr>
          <w:p w14:paraId="0648CD01" w14:textId="77777777" w:rsidR="00B33665" w:rsidRPr="00B33665" w:rsidRDefault="00B33665" w:rsidP="00B33665">
            <w:pPr>
              <w:rPr>
                <w:b/>
                <w:u w:val="single"/>
              </w:rPr>
            </w:pPr>
            <w:r w:rsidRPr="00B33665">
              <w:rPr>
                <w:b/>
                <w:u w:val="single"/>
              </w:rPr>
              <w:t>Procedure</w:t>
            </w:r>
          </w:p>
        </w:tc>
        <w:tc>
          <w:tcPr>
            <w:tcW w:w="5330" w:type="dxa"/>
          </w:tcPr>
          <w:p w14:paraId="31ED5131" w14:textId="77777777" w:rsidR="00B33665" w:rsidRPr="00B33665" w:rsidRDefault="00B33665" w:rsidP="00B33665">
            <w:pPr>
              <w:rPr>
                <w:b/>
                <w:u w:val="single"/>
              </w:rPr>
            </w:pPr>
            <w:r w:rsidRPr="00B33665">
              <w:rPr>
                <w:b/>
                <w:u w:val="single"/>
              </w:rPr>
              <w:t>Forms and Templates</w:t>
            </w:r>
          </w:p>
        </w:tc>
      </w:tr>
      <w:tr w:rsidR="00B33665" w14:paraId="798633FE" w14:textId="77777777" w:rsidTr="00655099">
        <w:tc>
          <w:tcPr>
            <w:tcW w:w="3686" w:type="dxa"/>
          </w:tcPr>
          <w:p w14:paraId="46AF3916" w14:textId="47CA19A5" w:rsidR="00B33665" w:rsidRDefault="00630FE2" w:rsidP="00B33665">
            <w:r>
              <w:rPr>
                <w:highlight w:val="yellow"/>
              </w:rPr>
              <w:fldChar w:fldCharType="begin"/>
            </w:r>
            <w:r>
              <w:instrText xml:space="preserve"> REF _Ref10983012 \h </w:instrText>
            </w:r>
            <w:r>
              <w:rPr>
                <w:highlight w:val="yellow"/>
              </w:rPr>
            </w:r>
            <w:r>
              <w:rPr>
                <w:highlight w:val="yellow"/>
              </w:rPr>
              <w:fldChar w:fldCharType="separate"/>
            </w:r>
            <w:r>
              <w:t>Resolving a WHS injury, incident or hazard</w:t>
            </w:r>
            <w:r>
              <w:rPr>
                <w:highlight w:val="yellow"/>
              </w:rPr>
              <w:fldChar w:fldCharType="end"/>
            </w:r>
          </w:p>
        </w:tc>
        <w:tc>
          <w:tcPr>
            <w:tcW w:w="5330" w:type="dxa"/>
          </w:tcPr>
          <w:p w14:paraId="3BF9CEFA" w14:textId="0C39A0A7" w:rsidR="00B33665" w:rsidRPr="00630FE2" w:rsidRDefault="00630FE2" w:rsidP="00B33665">
            <w:pPr>
              <w:pStyle w:val="ListParagraph"/>
              <w:numPr>
                <w:ilvl w:val="0"/>
                <w:numId w:val="6"/>
              </w:numPr>
            </w:pPr>
            <w:r w:rsidRPr="00630FE2">
              <w:t>N/A</w:t>
            </w:r>
          </w:p>
        </w:tc>
      </w:tr>
    </w:tbl>
    <w:p w14:paraId="6A12BA26" w14:textId="77777777" w:rsidR="00FA433D" w:rsidRPr="008F72BC" w:rsidRDefault="00FA433D" w:rsidP="004617C7">
      <w:pPr>
        <w:pStyle w:val="Heading2-Break"/>
      </w:pPr>
      <w:bookmarkStart w:id="12" w:name="_Toc10983075"/>
      <w:r w:rsidRPr="008F72BC">
        <w:lastRenderedPageBreak/>
        <w:t>Version Management</w:t>
      </w:r>
      <w:bookmarkEnd w:id="12"/>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486"/>
        <w:gridCol w:w="1486"/>
        <w:gridCol w:w="6044"/>
      </w:tblGrid>
      <w:tr w:rsidR="00FA433D" w14:paraId="212326AF" w14:textId="77777777" w:rsidTr="00FA433D">
        <w:tc>
          <w:tcPr>
            <w:tcW w:w="1486" w:type="dxa"/>
          </w:tcPr>
          <w:p w14:paraId="6B7C46B4" w14:textId="77777777" w:rsidR="00FA433D" w:rsidRPr="00FA433D" w:rsidRDefault="00FA433D" w:rsidP="00FA433D">
            <w:pPr>
              <w:rPr>
                <w:b/>
                <w:u w:val="single"/>
              </w:rPr>
            </w:pPr>
            <w:r w:rsidRPr="00FA433D">
              <w:rPr>
                <w:b/>
                <w:u w:val="single"/>
              </w:rPr>
              <w:t>Version</w:t>
            </w:r>
          </w:p>
        </w:tc>
        <w:tc>
          <w:tcPr>
            <w:tcW w:w="1486" w:type="dxa"/>
          </w:tcPr>
          <w:p w14:paraId="19B14DBF" w14:textId="77777777" w:rsidR="00FA433D" w:rsidRPr="00FA433D" w:rsidRDefault="00FA433D" w:rsidP="00FA433D">
            <w:pPr>
              <w:rPr>
                <w:b/>
                <w:u w:val="single"/>
              </w:rPr>
            </w:pPr>
            <w:r w:rsidRPr="00FA433D">
              <w:rPr>
                <w:b/>
                <w:u w:val="single"/>
              </w:rPr>
              <w:t>Date</w:t>
            </w:r>
          </w:p>
        </w:tc>
        <w:tc>
          <w:tcPr>
            <w:tcW w:w="6044" w:type="dxa"/>
          </w:tcPr>
          <w:p w14:paraId="420050A8" w14:textId="77777777" w:rsidR="00FA433D" w:rsidRPr="00FA433D" w:rsidRDefault="00FA433D" w:rsidP="00FA433D">
            <w:pPr>
              <w:rPr>
                <w:b/>
                <w:u w:val="single"/>
              </w:rPr>
            </w:pPr>
            <w:r w:rsidRPr="00FA433D">
              <w:rPr>
                <w:b/>
                <w:u w:val="single"/>
              </w:rPr>
              <w:t>Notes</w:t>
            </w:r>
          </w:p>
        </w:tc>
      </w:tr>
      <w:tr w:rsidR="00FA433D" w14:paraId="761F369D" w14:textId="77777777" w:rsidTr="00FA433D">
        <w:tc>
          <w:tcPr>
            <w:tcW w:w="1486" w:type="dxa"/>
          </w:tcPr>
          <w:p w14:paraId="5C8FBF65" w14:textId="77777777" w:rsidR="00FA433D" w:rsidRDefault="00FA433D" w:rsidP="00FA433D">
            <w:pPr>
              <w:rPr>
                <w:highlight w:val="yellow"/>
              </w:rPr>
            </w:pPr>
            <w:r w:rsidRPr="00FA433D">
              <w:t>1</w:t>
            </w:r>
          </w:p>
        </w:tc>
        <w:tc>
          <w:tcPr>
            <w:tcW w:w="1486" w:type="dxa"/>
          </w:tcPr>
          <w:p w14:paraId="11AE6BE6" w14:textId="4F98E02D" w:rsidR="00FA433D" w:rsidRDefault="006C1B7B" w:rsidP="00FA433D">
            <w:pPr>
              <w:rPr>
                <w:highlight w:val="yellow"/>
              </w:rPr>
            </w:pPr>
            <w:bookmarkStart w:id="13" w:name="_GoBack"/>
            <w:bookmarkEnd w:id="13"/>
            <w:r w:rsidRPr="006C1B7B">
              <w:t>01/02/2019</w:t>
            </w:r>
          </w:p>
        </w:tc>
        <w:tc>
          <w:tcPr>
            <w:tcW w:w="6044" w:type="dxa"/>
          </w:tcPr>
          <w:p w14:paraId="6B6E00BD" w14:textId="77777777" w:rsidR="00FA433D" w:rsidRDefault="00FA433D" w:rsidP="00FA433D">
            <w:pPr>
              <w:rPr>
                <w:highlight w:val="yellow"/>
              </w:rPr>
            </w:pPr>
            <w:r>
              <w:t>First release</w:t>
            </w:r>
          </w:p>
        </w:tc>
      </w:tr>
      <w:tr w:rsidR="00FA433D" w14:paraId="5E5FC075" w14:textId="77777777" w:rsidTr="00FA433D">
        <w:tc>
          <w:tcPr>
            <w:tcW w:w="1486" w:type="dxa"/>
          </w:tcPr>
          <w:p w14:paraId="267F0ADD" w14:textId="77777777" w:rsidR="00FA433D" w:rsidRDefault="00FA433D" w:rsidP="00FA433D">
            <w:pPr>
              <w:rPr>
                <w:highlight w:val="yellow"/>
              </w:rPr>
            </w:pPr>
          </w:p>
        </w:tc>
        <w:tc>
          <w:tcPr>
            <w:tcW w:w="1486" w:type="dxa"/>
          </w:tcPr>
          <w:p w14:paraId="72D0946D" w14:textId="77777777" w:rsidR="00FA433D" w:rsidRDefault="00FA433D" w:rsidP="00FA433D">
            <w:pPr>
              <w:rPr>
                <w:highlight w:val="yellow"/>
              </w:rPr>
            </w:pPr>
          </w:p>
        </w:tc>
        <w:tc>
          <w:tcPr>
            <w:tcW w:w="6044" w:type="dxa"/>
          </w:tcPr>
          <w:p w14:paraId="46DB1920" w14:textId="77777777" w:rsidR="00FA433D" w:rsidRDefault="00FA433D" w:rsidP="00FA433D">
            <w:pPr>
              <w:rPr>
                <w:highlight w:val="yellow"/>
              </w:rPr>
            </w:pPr>
          </w:p>
        </w:tc>
      </w:tr>
      <w:tr w:rsidR="00FA433D" w14:paraId="7524B85E" w14:textId="77777777" w:rsidTr="00FA433D">
        <w:tc>
          <w:tcPr>
            <w:tcW w:w="1486" w:type="dxa"/>
          </w:tcPr>
          <w:p w14:paraId="1A672E8F" w14:textId="77777777" w:rsidR="00FA433D" w:rsidRDefault="00FA433D" w:rsidP="00FA433D">
            <w:pPr>
              <w:rPr>
                <w:highlight w:val="yellow"/>
              </w:rPr>
            </w:pPr>
          </w:p>
        </w:tc>
        <w:tc>
          <w:tcPr>
            <w:tcW w:w="1486" w:type="dxa"/>
          </w:tcPr>
          <w:p w14:paraId="0371E691" w14:textId="77777777" w:rsidR="00FA433D" w:rsidRDefault="00FA433D" w:rsidP="00FA433D">
            <w:pPr>
              <w:rPr>
                <w:highlight w:val="yellow"/>
              </w:rPr>
            </w:pPr>
          </w:p>
        </w:tc>
        <w:tc>
          <w:tcPr>
            <w:tcW w:w="6044" w:type="dxa"/>
          </w:tcPr>
          <w:p w14:paraId="43A6E825" w14:textId="77777777" w:rsidR="00FA433D" w:rsidRDefault="00FA433D" w:rsidP="00FA433D">
            <w:pPr>
              <w:rPr>
                <w:highlight w:val="yellow"/>
              </w:rPr>
            </w:pPr>
          </w:p>
        </w:tc>
      </w:tr>
      <w:tr w:rsidR="00FA433D" w14:paraId="438714DF" w14:textId="77777777" w:rsidTr="00FA433D">
        <w:tc>
          <w:tcPr>
            <w:tcW w:w="1486" w:type="dxa"/>
          </w:tcPr>
          <w:p w14:paraId="1CC1E1B1" w14:textId="77777777" w:rsidR="00FA433D" w:rsidRDefault="00FA433D" w:rsidP="00FA433D">
            <w:pPr>
              <w:rPr>
                <w:highlight w:val="yellow"/>
              </w:rPr>
            </w:pPr>
          </w:p>
        </w:tc>
        <w:tc>
          <w:tcPr>
            <w:tcW w:w="1486" w:type="dxa"/>
          </w:tcPr>
          <w:p w14:paraId="54FBFA5F" w14:textId="77777777" w:rsidR="00FA433D" w:rsidRDefault="00FA433D" w:rsidP="00FA433D">
            <w:pPr>
              <w:rPr>
                <w:highlight w:val="yellow"/>
              </w:rPr>
            </w:pPr>
          </w:p>
        </w:tc>
        <w:tc>
          <w:tcPr>
            <w:tcW w:w="6044" w:type="dxa"/>
          </w:tcPr>
          <w:p w14:paraId="61C0FBC1" w14:textId="77777777" w:rsidR="00FA433D" w:rsidRDefault="00FA433D" w:rsidP="00FA433D">
            <w:pPr>
              <w:rPr>
                <w:highlight w:val="yellow"/>
              </w:rPr>
            </w:pPr>
          </w:p>
        </w:tc>
      </w:tr>
      <w:tr w:rsidR="00FA433D" w14:paraId="0E36D919" w14:textId="77777777" w:rsidTr="00FA433D">
        <w:tc>
          <w:tcPr>
            <w:tcW w:w="1486" w:type="dxa"/>
          </w:tcPr>
          <w:p w14:paraId="30388F39" w14:textId="77777777" w:rsidR="00FA433D" w:rsidRDefault="00FA433D" w:rsidP="00FA433D">
            <w:pPr>
              <w:rPr>
                <w:highlight w:val="yellow"/>
              </w:rPr>
            </w:pPr>
          </w:p>
        </w:tc>
        <w:tc>
          <w:tcPr>
            <w:tcW w:w="1486" w:type="dxa"/>
          </w:tcPr>
          <w:p w14:paraId="04DB39E1" w14:textId="77777777" w:rsidR="00FA433D" w:rsidRDefault="00FA433D" w:rsidP="00FA433D">
            <w:pPr>
              <w:rPr>
                <w:highlight w:val="yellow"/>
              </w:rPr>
            </w:pPr>
          </w:p>
        </w:tc>
        <w:tc>
          <w:tcPr>
            <w:tcW w:w="6044" w:type="dxa"/>
          </w:tcPr>
          <w:p w14:paraId="69481ABE" w14:textId="77777777" w:rsidR="00FA433D" w:rsidRDefault="00FA433D" w:rsidP="00FA433D">
            <w:pPr>
              <w:rPr>
                <w:highlight w:val="yellow"/>
              </w:rPr>
            </w:pPr>
          </w:p>
        </w:tc>
      </w:tr>
      <w:tr w:rsidR="00FA433D" w14:paraId="040317E8" w14:textId="77777777" w:rsidTr="00FA433D">
        <w:tc>
          <w:tcPr>
            <w:tcW w:w="1486" w:type="dxa"/>
          </w:tcPr>
          <w:p w14:paraId="69334109" w14:textId="77777777" w:rsidR="00FA433D" w:rsidRDefault="00FA433D" w:rsidP="00FA433D">
            <w:pPr>
              <w:rPr>
                <w:highlight w:val="yellow"/>
              </w:rPr>
            </w:pPr>
          </w:p>
        </w:tc>
        <w:tc>
          <w:tcPr>
            <w:tcW w:w="1486" w:type="dxa"/>
          </w:tcPr>
          <w:p w14:paraId="6E52F5DF" w14:textId="77777777" w:rsidR="00FA433D" w:rsidRDefault="00FA433D" w:rsidP="00FA433D">
            <w:pPr>
              <w:rPr>
                <w:highlight w:val="yellow"/>
              </w:rPr>
            </w:pPr>
          </w:p>
        </w:tc>
        <w:tc>
          <w:tcPr>
            <w:tcW w:w="6044" w:type="dxa"/>
          </w:tcPr>
          <w:p w14:paraId="7FAF52A9" w14:textId="77777777" w:rsidR="00FA433D" w:rsidRDefault="00FA433D" w:rsidP="00FA433D">
            <w:pPr>
              <w:rPr>
                <w:highlight w:val="yellow"/>
              </w:rPr>
            </w:pPr>
          </w:p>
        </w:tc>
      </w:tr>
      <w:tr w:rsidR="00FA433D" w14:paraId="0AF467C5" w14:textId="77777777" w:rsidTr="00FA433D">
        <w:tc>
          <w:tcPr>
            <w:tcW w:w="1486" w:type="dxa"/>
          </w:tcPr>
          <w:p w14:paraId="05B8D229" w14:textId="77777777" w:rsidR="00FA433D" w:rsidRDefault="00FA433D" w:rsidP="00FA433D">
            <w:pPr>
              <w:rPr>
                <w:highlight w:val="yellow"/>
              </w:rPr>
            </w:pPr>
          </w:p>
        </w:tc>
        <w:tc>
          <w:tcPr>
            <w:tcW w:w="1486" w:type="dxa"/>
          </w:tcPr>
          <w:p w14:paraId="1E632F2F" w14:textId="77777777" w:rsidR="00FA433D" w:rsidRDefault="00FA433D" w:rsidP="00FA433D">
            <w:pPr>
              <w:rPr>
                <w:highlight w:val="yellow"/>
              </w:rPr>
            </w:pPr>
          </w:p>
        </w:tc>
        <w:tc>
          <w:tcPr>
            <w:tcW w:w="6044" w:type="dxa"/>
          </w:tcPr>
          <w:p w14:paraId="5E15F211" w14:textId="77777777" w:rsidR="00FA433D" w:rsidRDefault="00FA433D" w:rsidP="00FA433D">
            <w:pPr>
              <w:rPr>
                <w:highlight w:val="yellow"/>
              </w:rPr>
            </w:pPr>
          </w:p>
        </w:tc>
      </w:tr>
    </w:tbl>
    <w:p w14:paraId="5D3DB221" w14:textId="77777777" w:rsidR="00FA433D" w:rsidRPr="00FA433D" w:rsidRDefault="00FA433D" w:rsidP="00FA433D">
      <w:pPr>
        <w:rPr>
          <w:highlight w:val="yellow"/>
        </w:rPr>
      </w:pPr>
    </w:p>
    <w:sectPr w:rsidR="00FA433D" w:rsidRPr="00FA43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95B5" w14:textId="77777777" w:rsidR="00372213" w:rsidRDefault="00372213" w:rsidP="004617C7">
      <w:pPr>
        <w:spacing w:after="0" w:line="240" w:lineRule="auto"/>
      </w:pPr>
      <w:r>
        <w:separator/>
      </w:r>
    </w:p>
  </w:endnote>
  <w:endnote w:type="continuationSeparator" w:id="0">
    <w:p w14:paraId="35660DFF" w14:textId="77777777" w:rsidR="00372213" w:rsidRDefault="00372213" w:rsidP="0046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E6424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4617C7" w:rsidRPr="00FA0B8F" w14:paraId="4C9330F2" w14:textId="77777777" w:rsidTr="007D554C">
      <w:tc>
        <w:tcPr>
          <w:tcW w:w="4508" w:type="dxa"/>
        </w:tcPr>
        <w:p w14:paraId="744D08BF" w14:textId="3FC47E67" w:rsidR="004617C7" w:rsidRPr="00FA0B8F" w:rsidRDefault="00630FE2" w:rsidP="004617C7">
          <w:pPr>
            <w:pStyle w:val="Footer"/>
            <w:rPr>
              <w:color w:val="808080" w:themeColor="background1" w:themeShade="80"/>
            </w:rPr>
          </w:pPr>
          <w:r w:rsidRPr="00630FE2">
            <w:rPr>
              <w:color w:val="808080" w:themeColor="background1" w:themeShade="80"/>
            </w:rPr>
            <w:t>CPP016 Workplace Health and Safety</w:t>
          </w:r>
        </w:p>
      </w:tc>
      <w:tc>
        <w:tcPr>
          <w:tcW w:w="4508" w:type="dxa"/>
        </w:tcPr>
        <w:p w14:paraId="4A557C6D" w14:textId="77777777" w:rsidR="004617C7" w:rsidRPr="00FA0B8F" w:rsidRDefault="004617C7" w:rsidP="004617C7">
          <w:pPr>
            <w:pStyle w:val="Footer"/>
            <w:jc w:val="right"/>
            <w:rPr>
              <w:color w:val="808080" w:themeColor="background1" w:themeShade="80"/>
            </w:rPr>
          </w:pPr>
          <w:r w:rsidRPr="00FA0B8F">
            <w:rPr>
              <w:color w:val="808080" w:themeColor="background1" w:themeShade="80"/>
            </w:rPr>
            <w:t xml:space="preserve">Page </w:t>
          </w:r>
          <w:r w:rsidRPr="00FA0B8F">
            <w:rPr>
              <w:b/>
              <w:bCs/>
              <w:color w:val="808080" w:themeColor="background1" w:themeShade="80"/>
            </w:rPr>
            <w:fldChar w:fldCharType="begin"/>
          </w:r>
          <w:r w:rsidRPr="00FA0B8F">
            <w:rPr>
              <w:b/>
              <w:bCs/>
              <w:color w:val="808080" w:themeColor="background1" w:themeShade="80"/>
            </w:rPr>
            <w:instrText xml:space="preserve"> PAGE  \* Arabic  \* MERGEFORMAT </w:instrText>
          </w:r>
          <w:r w:rsidRPr="00FA0B8F">
            <w:rPr>
              <w:b/>
              <w:bCs/>
              <w:color w:val="808080" w:themeColor="background1" w:themeShade="80"/>
            </w:rPr>
            <w:fldChar w:fldCharType="separate"/>
          </w:r>
          <w:r>
            <w:rPr>
              <w:b/>
              <w:bCs/>
              <w:color w:val="808080" w:themeColor="background1" w:themeShade="80"/>
            </w:rPr>
            <w:t>3</w:t>
          </w:r>
          <w:r w:rsidRPr="00FA0B8F">
            <w:rPr>
              <w:b/>
              <w:bCs/>
              <w:color w:val="808080" w:themeColor="background1" w:themeShade="80"/>
            </w:rPr>
            <w:fldChar w:fldCharType="end"/>
          </w:r>
          <w:r w:rsidRPr="00FA0B8F">
            <w:rPr>
              <w:color w:val="808080" w:themeColor="background1" w:themeShade="80"/>
            </w:rPr>
            <w:t xml:space="preserve"> of </w:t>
          </w:r>
          <w:r w:rsidRPr="00FA0B8F">
            <w:rPr>
              <w:b/>
              <w:bCs/>
              <w:color w:val="808080" w:themeColor="background1" w:themeShade="80"/>
            </w:rPr>
            <w:fldChar w:fldCharType="begin"/>
          </w:r>
          <w:r w:rsidRPr="00FA0B8F">
            <w:rPr>
              <w:b/>
              <w:bCs/>
              <w:color w:val="808080" w:themeColor="background1" w:themeShade="80"/>
            </w:rPr>
            <w:instrText xml:space="preserve"> NUMPAGES  \* Arabic  \* MERGEFORMAT </w:instrText>
          </w:r>
          <w:r w:rsidRPr="00FA0B8F">
            <w:rPr>
              <w:b/>
              <w:bCs/>
              <w:color w:val="808080" w:themeColor="background1" w:themeShade="80"/>
            </w:rPr>
            <w:fldChar w:fldCharType="separate"/>
          </w:r>
          <w:r>
            <w:rPr>
              <w:b/>
              <w:bCs/>
              <w:color w:val="808080" w:themeColor="background1" w:themeShade="80"/>
            </w:rPr>
            <w:t>8</w:t>
          </w:r>
          <w:r w:rsidRPr="00FA0B8F">
            <w:rPr>
              <w:b/>
              <w:bCs/>
              <w:color w:val="808080" w:themeColor="background1" w:themeShade="80"/>
            </w:rPr>
            <w:fldChar w:fldCharType="end"/>
          </w:r>
        </w:p>
      </w:tc>
    </w:tr>
  </w:tbl>
  <w:p w14:paraId="45C99B77" w14:textId="77777777" w:rsidR="004617C7" w:rsidRPr="00FA0B8F" w:rsidRDefault="004617C7" w:rsidP="004617C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33A2" w14:textId="77777777" w:rsidR="00372213" w:rsidRDefault="00372213" w:rsidP="004617C7">
      <w:pPr>
        <w:spacing w:after="0" w:line="240" w:lineRule="auto"/>
      </w:pPr>
      <w:r>
        <w:separator/>
      </w:r>
    </w:p>
  </w:footnote>
  <w:footnote w:type="continuationSeparator" w:id="0">
    <w:p w14:paraId="5076D141" w14:textId="77777777" w:rsidR="00372213" w:rsidRDefault="00372213" w:rsidP="0046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46FF" w14:textId="77777777" w:rsidR="004617C7" w:rsidRDefault="004617C7" w:rsidP="004617C7">
    <w:pPr>
      <w:pStyle w:val="Header"/>
      <w:jc w:val="right"/>
    </w:pPr>
    <w:r>
      <w:rPr>
        <w:noProof/>
      </w:rPr>
      <w:drawing>
        <wp:inline distT="0" distB="0" distL="0" distR="0" wp14:anchorId="677C1D79" wp14:editId="1F83A4CB">
          <wp:extent cx="2105025" cy="5263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 Logo - no tagline.jpg"/>
                  <pic:cNvPicPr/>
                </pic:nvPicPr>
                <pic:blipFill>
                  <a:blip r:embed="rId1">
                    <a:extLst>
                      <a:ext uri="{28A0092B-C50C-407E-A947-70E740481C1C}">
                        <a14:useLocalDpi xmlns:a14="http://schemas.microsoft.com/office/drawing/2010/main" val="0"/>
                      </a:ext>
                    </a:extLst>
                  </a:blip>
                  <a:stretch>
                    <a:fillRect/>
                  </a:stretch>
                </pic:blipFill>
                <pic:spPr>
                  <a:xfrm>
                    <a:off x="0" y="0"/>
                    <a:ext cx="2126284" cy="531689"/>
                  </a:xfrm>
                  <a:prstGeom prst="rect">
                    <a:avLst/>
                  </a:prstGeom>
                </pic:spPr>
              </pic:pic>
            </a:graphicData>
          </a:graphic>
        </wp:inline>
      </w:drawing>
    </w:r>
  </w:p>
  <w:p w14:paraId="79E67BC6" w14:textId="77777777" w:rsidR="004617C7" w:rsidRDefault="004617C7" w:rsidP="004617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021"/>
    <w:multiLevelType w:val="hybridMultilevel"/>
    <w:tmpl w:val="8922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D02E32"/>
    <w:multiLevelType w:val="hybridMultilevel"/>
    <w:tmpl w:val="F746D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E6256"/>
    <w:multiLevelType w:val="hybridMultilevel"/>
    <w:tmpl w:val="9ADA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7548D9"/>
    <w:multiLevelType w:val="hybridMultilevel"/>
    <w:tmpl w:val="D674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577B1"/>
    <w:multiLevelType w:val="hybridMultilevel"/>
    <w:tmpl w:val="8D6A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FD04E6"/>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C4682"/>
    <w:multiLevelType w:val="hybridMultilevel"/>
    <w:tmpl w:val="184457C4"/>
    <w:lvl w:ilvl="0" w:tplc="A9A25E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592946"/>
    <w:multiLevelType w:val="hybridMultilevel"/>
    <w:tmpl w:val="1B5A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E81004"/>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901917"/>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5"/>
  </w:num>
  <w:num w:numId="6">
    <w:abstractNumId w:val="2"/>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DA1NTA0NzQxMDNQ0lEKTi0uzszPAykwrwUA/EmwoSwAAAA="/>
  </w:docVars>
  <w:rsids>
    <w:rsidRoot w:val="00100BD8"/>
    <w:rsid w:val="00097930"/>
    <w:rsid w:val="00100BD8"/>
    <w:rsid w:val="001A681A"/>
    <w:rsid w:val="001B6BF4"/>
    <w:rsid w:val="002445E7"/>
    <w:rsid w:val="00273F9B"/>
    <w:rsid w:val="00276311"/>
    <w:rsid w:val="00372213"/>
    <w:rsid w:val="00397030"/>
    <w:rsid w:val="004516F7"/>
    <w:rsid w:val="004617C7"/>
    <w:rsid w:val="00472436"/>
    <w:rsid w:val="004B0917"/>
    <w:rsid w:val="005504CC"/>
    <w:rsid w:val="005B35CC"/>
    <w:rsid w:val="005E6FD9"/>
    <w:rsid w:val="00630FE2"/>
    <w:rsid w:val="00655099"/>
    <w:rsid w:val="006753C0"/>
    <w:rsid w:val="006A3474"/>
    <w:rsid w:val="006C1B7B"/>
    <w:rsid w:val="0073242C"/>
    <w:rsid w:val="00732BAE"/>
    <w:rsid w:val="00831E0A"/>
    <w:rsid w:val="008F72BC"/>
    <w:rsid w:val="009729AD"/>
    <w:rsid w:val="00A84244"/>
    <w:rsid w:val="00A86288"/>
    <w:rsid w:val="00B33665"/>
    <w:rsid w:val="00D04CAB"/>
    <w:rsid w:val="00D06B52"/>
    <w:rsid w:val="00D2177A"/>
    <w:rsid w:val="00D8474C"/>
    <w:rsid w:val="00DD6451"/>
    <w:rsid w:val="00DF0D77"/>
    <w:rsid w:val="00E652B1"/>
    <w:rsid w:val="00E87260"/>
    <w:rsid w:val="00EC3F66"/>
    <w:rsid w:val="00EF1174"/>
    <w:rsid w:val="00F33026"/>
    <w:rsid w:val="00F738B9"/>
    <w:rsid w:val="00FA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0C5C"/>
  <w15:chartTrackingRefBased/>
  <w15:docId w15:val="{41E8699F-8670-4352-ADB4-58B422C0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60"/>
  </w:style>
  <w:style w:type="paragraph" w:styleId="Heading1">
    <w:name w:val="heading 1"/>
    <w:basedOn w:val="Normal"/>
    <w:next w:val="Normal"/>
    <w:link w:val="Heading1Char"/>
    <w:uiPriority w:val="9"/>
    <w:qFormat/>
    <w:rsid w:val="004617C7"/>
    <w:pPr>
      <w:spacing w:after="480" w:line="240" w:lineRule="auto"/>
      <w:contextualSpacing/>
      <w:outlineLvl w:val="0"/>
    </w:pPr>
    <w:rPr>
      <w:rFonts w:asciiTheme="majorHAnsi" w:eastAsiaTheme="majorEastAsia" w:hAnsiTheme="majorHAnsi" w:cstheme="majorBidi"/>
      <w:b/>
      <w:color w:val="E64243"/>
      <w:spacing w:val="-10"/>
      <w:kern w:val="28"/>
      <w:sz w:val="56"/>
      <w:szCs w:val="56"/>
    </w:rPr>
  </w:style>
  <w:style w:type="paragraph" w:styleId="Heading2">
    <w:name w:val="heading 2"/>
    <w:basedOn w:val="Normal"/>
    <w:next w:val="Normal"/>
    <w:link w:val="Heading2Char"/>
    <w:uiPriority w:val="9"/>
    <w:unhideWhenUsed/>
    <w:qFormat/>
    <w:rsid w:val="004617C7"/>
    <w:pPr>
      <w:keepNext/>
      <w:keepLines/>
      <w:pBdr>
        <w:bottom w:val="single" w:sz="4" w:space="1" w:color="E64243"/>
      </w:pBdr>
      <w:spacing w:before="40" w:after="240"/>
      <w:outlineLvl w:val="1"/>
    </w:pPr>
    <w:rPr>
      <w:rFonts w:asciiTheme="majorHAnsi" w:eastAsiaTheme="majorEastAsia" w:hAnsiTheme="majorHAnsi" w:cstheme="majorBidi"/>
      <w:b/>
      <w:color w:val="E64243"/>
      <w:sz w:val="26"/>
      <w:szCs w:val="26"/>
    </w:rPr>
  </w:style>
  <w:style w:type="paragraph" w:styleId="Heading3">
    <w:name w:val="heading 3"/>
    <w:basedOn w:val="Normal"/>
    <w:next w:val="Normal"/>
    <w:link w:val="Heading3Char"/>
    <w:uiPriority w:val="9"/>
    <w:unhideWhenUsed/>
    <w:qFormat/>
    <w:rsid w:val="004617C7"/>
    <w:pPr>
      <w:keepNext/>
      <w:keepLines/>
      <w:spacing w:before="40" w:after="0"/>
      <w:outlineLvl w:val="2"/>
    </w:pPr>
    <w:rPr>
      <w:rFonts w:asciiTheme="majorHAnsi" w:eastAsiaTheme="majorEastAsia" w:hAnsiTheme="majorHAnsi" w:cstheme="majorBidi"/>
      <w:b/>
      <w:color w:val="E642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6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617C7"/>
    <w:rPr>
      <w:rFonts w:asciiTheme="majorHAnsi" w:eastAsiaTheme="majorEastAsia" w:hAnsiTheme="majorHAnsi" w:cstheme="majorBidi"/>
      <w:b/>
      <w:color w:val="E64243"/>
      <w:sz w:val="26"/>
      <w:szCs w:val="26"/>
    </w:rPr>
  </w:style>
  <w:style w:type="paragraph" w:styleId="ListParagraph">
    <w:name w:val="List Paragraph"/>
    <w:basedOn w:val="Normal"/>
    <w:uiPriority w:val="34"/>
    <w:qFormat/>
    <w:rsid w:val="004516F7"/>
    <w:pPr>
      <w:ind w:left="720"/>
      <w:contextualSpacing/>
    </w:pPr>
  </w:style>
  <w:style w:type="character" w:customStyle="1" w:styleId="Heading1Char">
    <w:name w:val="Heading 1 Char"/>
    <w:basedOn w:val="DefaultParagraphFont"/>
    <w:link w:val="Heading1"/>
    <w:uiPriority w:val="9"/>
    <w:rsid w:val="004617C7"/>
    <w:rPr>
      <w:rFonts w:asciiTheme="majorHAnsi" w:eastAsiaTheme="majorEastAsia" w:hAnsiTheme="majorHAnsi" w:cstheme="majorBidi"/>
      <w:b/>
      <w:color w:val="E64243"/>
      <w:spacing w:val="-10"/>
      <w:kern w:val="28"/>
      <w:sz w:val="56"/>
      <w:szCs w:val="56"/>
    </w:rPr>
  </w:style>
  <w:style w:type="table" w:styleId="TableGrid">
    <w:name w:val="Table Grid"/>
    <w:basedOn w:val="TableNormal"/>
    <w:uiPriority w:val="39"/>
    <w:rsid w:val="00FA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C7"/>
  </w:style>
  <w:style w:type="paragraph" w:styleId="Footer">
    <w:name w:val="footer"/>
    <w:basedOn w:val="Normal"/>
    <w:link w:val="FooterChar"/>
    <w:uiPriority w:val="99"/>
    <w:unhideWhenUsed/>
    <w:rsid w:val="0046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C7"/>
  </w:style>
  <w:style w:type="paragraph" w:styleId="TOC1">
    <w:name w:val="toc 1"/>
    <w:basedOn w:val="Normal"/>
    <w:next w:val="Normal"/>
    <w:autoRedefine/>
    <w:uiPriority w:val="39"/>
    <w:unhideWhenUsed/>
    <w:rsid w:val="004617C7"/>
    <w:pPr>
      <w:spacing w:after="100"/>
    </w:pPr>
  </w:style>
  <w:style w:type="paragraph" w:styleId="TOC2">
    <w:name w:val="toc 2"/>
    <w:basedOn w:val="Normal"/>
    <w:next w:val="Normal"/>
    <w:autoRedefine/>
    <w:uiPriority w:val="39"/>
    <w:unhideWhenUsed/>
    <w:rsid w:val="004617C7"/>
    <w:pPr>
      <w:spacing w:after="100"/>
      <w:ind w:left="220"/>
    </w:pPr>
  </w:style>
  <w:style w:type="character" w:styleId="Hyperlink">
    <w:name w:val="Hyperlink"/>
    <w:basedOn w:val="DefaultParagraphFont"/>
    <w:uiPriority w:val="99"/>
    <w:unhideWhenUsed/>
    <w:rsid w:val="004617C7"/>
    <w:rPr>
      <w:color w:val="0563C1" w:themeColor="hyperlink"/>
      <w:u w:val="single"/>
    </w:rPr>
  </w:style>
  <w:style w:type="paragraph" w:customStyle="1" w:styleId="Heading2-Break">
    <w:name w:val="Heading 2 - Break"/>
    <w:basedOn w:val="Heading2"/>
    <w:next w:val="Normal"/>
    <w:qFormat/>
    <w:rsid w:val="004617C7"/>
    <w:pPr>
      <w:pageBreakBefore/>
    </w:pPr>
  </w:style>
  <w:style w:type="character" w:customStyle="1" w:styleId="Heading3Char">
    <w:name w:val="Heading 3 Char"/>
    <w:basedOn w:val="DefaultParagraphFont"/>
    <w:link w:val="Heading3"/>
    <w:uiPriority w:val="9"/>
    <w:rsid w:val="004617C7"/>
    <w:rPr>
      <w:rFonts w:asciiTheme="majorHAnsi" w:eastAsiaTheme="majorEastAsia" w:hAnsiTheme="majorHAnsi" w:cstheme="majorBidi"/>
      <w:b/>
      <w:color w:val="E64243"/>
      <w:sz w:val="24"/>
      <w:szCs w:val="24"/>
    </w:rPr>
  </w:style>
  <w:style w:type="paragraph" w:styleId="TOC3">
    <w:name w:val="toc 3"/>
    <w:basedOn w:val="Normal"/>
    <w:next w:val="Normal"/>
    <w:autoRedefine/>
    <w:uiPriority w:val="39"/>
    <w:unhideWhenUsed/>
    <w:rsid w:val="00630FE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apstone\Projects\COM0075%20-%20Concept%20Engineering\PROJ0021%20-%20GTO%20Application\02%20-%20Working%20Documents\03%20-%20Develop%20Policy%20and%20Procedure\TEMPLATE%20-%20Policy%20and%20Procedure%20-%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7189-3F5B-4026-AEB2-328F028C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Policy and Procedure - v1</Template>
  <TotalTime>47</TotalTime>
  <Pages>6</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Wolff</dc:creator>
  <cp:keywords/>
  <dc:description/>
  <cp:lastModifiedBy>Daniel Wolff</cp:lastModifiedBy>
  <cp:revision>9</cp:revision>
  <dcterms:created xsi:type="dcterms:W3CDTF">2019-06-09T03:04:00Z</dcterms:created>
  <dcterms:modified xsi:type="dcterms:W3CDTF">2019-06-18T09:09:00Z</dcterms:modified>
</cp:coreProperties>
</file>